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70"/>
        <w:ind w:left="13" w:right="12" w:firstLine="0"/>
        <w:jc w:val="center"/>
        <w:rPr>
          <w:b/>
          <w:sz w:val="20"/>
        </w:rPr>
      </w:pPr>
      <w:r>
        <w:rPr>
          <w:b/>
          <w:sz w:val="20"/>
        </w:rPr>
        <w:t>THIS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ENDORSEMENT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CHANGES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THE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POLICY.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PLEASE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READ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IT</w:t>
      </w:r>
      <w:r>
        <w:rPr>
          <w:b/>
          <w:spacing w:val="-3"/>
          <w:sz w:val="20"/>
        </w:rPr>
        <w:t> </w:t>
      </w:r>
      <w:r>
        <w:rPr>
          <w:b/>
          <w:spacing w:val="-2"/>
          <w:sz w:val="20"/>
        </w:rPr>
        <w:t>CAREFULLY.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91"/>
        <w:rPr>
          <w:b/>
        </w:rPr>
      </w:pPr>
    </w:p>
    <w:p>
      <w:pPr>
        <w:pStyle w:val="Heading1"/>
      </w:pPr>
      <w:r>
        <w:rPr/>
        <w:t>WAR</w:t>
      </w:r>
      <w:r>
        <w:rPr>
          <w:spacing w:val="-4"/>
        </w:rPr>
        <w:t> </w:t>
      </w:r>
      <w:r>
        <w:rPr/>
        <w:t>EXCLUSION</w:t>
      </w:r>
      <w:r>
        <w:rPr>
          <w:spacing w:val="-4"/>
        </w:rPr>
        <w:t> </w:t>
      </w:r>
      <w:r>
        <w:rPr>
          <w:spacing w:val="-2"/>
        </w:rPr>
        <w:t>ENDORSEMENT</w:t>
      </w:r>
    </w:p>
    <w:p>
      <w:pPr>
        <w:pStyle w:val="BodyText"/>
        <w:spacing w:before="367"/>
        <w:rPr>
          <w:b/>
          <w:sz w:val="32"/>
        </w:rPr>
      </w:pPr>
    </w:p>
    <w:p>
      <w:pPr>
        <w:pStyle w:val="BodyText"/>
        <w:spacing w:line="480" w:lineRule="auto"/>
        <w:ind w:left="637" w:right="2566" w:hanging="278"/>
      </w:pPr>
      <w:r>
        <w:rPr/>
        <w:t>This</w:t>
      </w:r>
      <w:r>
        <w:rPr>
          <w:spacing w:val="-5"/>
        </w:rPr>
        <w:t> </w:t>
      </w:r>
      <w:r>
        <w:rPr/>
        <w:t>endorsement</w:t>
      </w:r>
      <w:r>
        <w:rPr>
          <w:spacing w:val="-6"/>
        </w:rPr>
        <w:t> </w:t>
      </w:r>
      <w:r>
        <w:rPr/>
        <w:t>modifies</w:t>
      </w:r>
      <w:r>
        <w:rPr>
          <w:spacing w:val="-5"/>
        </w:rPr>
        <w:t> </w:t>
      </w:r>
      <w:r>
        <w:rPr/>
        <w:t>insurance</w:t>
      </w:r>
      <w:r>
        <w:rPr>
          <w:spacing w:val="-6"/>
        </w:rPr>
        <w:t> </w:t>
      </w:r>
      <w:r>
        <w:rPr/>
        <w:t>provided</w:t>
      </w:r>
      <w:r>
        <w:rPr>
          <w:spacing w:val="-6"/>
        </w:rPr>
        <w:t> </w:t>
      </w:r>
      <w:r>
        <w:rPr/>
        <w:t>under</w:t>
      </w:r>
      <w:r>
        <w:rPr>
          <w:spacing w:val="-7"/>
        </w:rPr>
        <w:t> </w:t>
      </w:r>
      <w:r>
        <w:rPr/>
        <w:t>the</w:t>
      </w:r>
      <w:r>
        <w:rPr>
          <w:spacing w:val="-6"/>
        </w:rPr>
        <w:t> </w:t>
      </w:r>
      <w:r>
        <w:rPr/>
        <w:t>following: Environmental Liability Coverage Part</w:t>
      </w:r>
    </w:p>
    <w:p>
      <w:pPr>
        <w:pStyle w:val="BodyText"/>
        <w:spacing w:before="81"/>
      </w:pPr>
    </w:p>
    <w:p>
      <w:pPr>
        <w:pStyle w:val="Heading2"/>
        <w:spacing w:line="225" w:lineRule="exact"/>
        <w:ind w:right="13"/>
        <w:rPr>
          <w:b w:val="0"/>
        </w:rPr>
      </w:pPr>
      <w:r>
        <w:rPr>
          <w:b w:val="0"/>
        </w:rPr>
        <w:t>Paragraph</w:t>
      </w:r>
      <w:r>
        <w:rPr>
          <w:b w:val="0"/>
          <w:spacing w:val="-8"/>
        </w:rPr>
        <w:t> </w:t>
      </w:r>
      <w:r>
        <w:rPr/>
        <w:t>L.</w:t>
      </w:r>
      <w:r>
        <w:rPr>
          <w:spacing w:val="-5"/>
        </w:rPr>
        <w:t> </w:t>
      </w:r>
      <w:r>
        <w:rPr/>
        <w:t>Hostile</w:t>
      </w:r>
      <w:r>
        <w:rPr>
          <w:spacing w:val="-5"/>
        </w:rPr>
        <w:t> </w:t>
      </w:r>
      <w:r>
        <w:rPr/>
        <w:t>Acts,</w:t>
      </w:r>
      <w:r>
        <w:rPr>
          <w:spacing w:val="-7"/>
        </w:rPr>
        <w:t> </w:t>
      </w:r>
      <w:r>
        <w:rPr/>
        <w:t>II.</w:t>
      </w:r>
      <w:r>
        <w:rPr>
          <w:spacing w:val="-4"/>
        </w:rPr>
        <w:t> </w:t>
      </w:r>
      <w:r>
        <w:rPr/>
        <w:t>ENVIRONMENTAL</w:t>
      </w:r>
      <w:r>
        <w:rPr>
          <w:spacing w:val="-6"/>
        </w:rPr>
        <w:t> </w:t>
      </w:r>
      <w:r>
        <w:rPr/>
        <w:t>IMPAIRMENT</w:t>
      </w:r>
      <w:r>
        <w:rPr>
          <w:spacing w:val="-5"/>
        </w:rPr>
        <w:t> </w:t>
      </w:r>
      <w:r>
        <w:rPr/>
        <w:t>LIABILITY</w:t>
      </w:r>
      <w:r>
        <w:rPr>
          <w:spacing w:val="-5"/>
        </w:rPr>
        <w:t> </w:t>
      </w:r>
      <w:r>
        <w:rPr/>
        <w:t>EXCLUSIONS</w:t>
      </w:r>
      <w:r>
        <w:rPr>
          <w:spacing w:val="-5"/>
        </w:rPr>
        <w:t> </w:t>
      </w:r>
      <w:r>
        <w:rPr/>
        <w:t>SECTION,</w:t>
      </w:r>
      <w:r>
        <w:rPr>
          <w:spacing w:val="-6"/>
        </w:rPr>
        <w:t> </w:t>
      </w:r>
      <w:r>
        <w:rPr>
          <w:b w:val="0"/>
          <w:spacing w:val="-5"/>
        </w:rPr>
        <w:t>is</w:t>
      </w:r>
    </w:p>
    <w:p>
      <w:pPr>
        <w:pStyle w:val="BodyText"/>
        <w:spacing w:line="225" w:lineRule="exact"/>
        <w:ind w:left="359"/>
      </w:pPr>
      <w:r>
        <w:rPr/>
        <w:t>deleted</w:t>
      </w:r>
      <w:r>
        <w:rPr>
          <w:spacing w:val="-4"/>
        </w:rPr>
        <w:t> </w:t>
      </w:r>
      <w:r>
        <w:rPr/>
        <w:t>in</w:t>
      </w:r>
      <w:r>
        <w:rPr>
          <w:spacing w:val="-3"/>
        </w:rPr>
        <w:t> </w:t>
      </w:r>
      <w:r>
        <w:rPr/>
        <w:t>its</w:t>
      </w:r>
      <w:r>
        <w:rPr>
          <w:spacing w:val="-4"/>
        </w:rPr>
        <w:t> </w:t>
      </w:r>
      <w:r>
        <w:rPr/>
        <w:t>entirety</w:t>
      </w:r>
      <w:r>
        <w:rPr>
          <w:spacing w:val="-2"/>
        </w:rPr>
        <w:t> </w:t>
      </w:r>
      <w:r>
        <w:rPr/>
        <w:t>and</w:t>
      </w:r>
      <w:r>
        <w:rPr>
          <w:spacing w:val="-3"/>
        </w:rPr>
        <w:t> </w:t>
      </w:r>
      <w:r>
        <w:rPr/>
        <w:t>replaced</w:t>
      </w:r>
      <w:r>
        <w:rPr>
          <w:spacing w:val="-4"/>
        </w:rPr>
        <w:t> </w:t>
      </w:r>
      <w:r>
        <w:rPr/>
        <w:t>by</w:t>
      </w:r>
      <w:r>
        <w:rPr>
          <w:spacing w:val="-2"/>
        </w:rPr>
        <w:t> </w:t>
      </w:r>
      <w:r>
        <w:rPr/>
        <w:t>the</w:t>
      </w:r>
      <w:r>
        <w:rPr>
          <w:spacing w:val="-3"/>
        </w:rPr>
        <w:t> </w:t>
      </w:r>
      <w:r>
        <w:rPr>
          <w:spacing w:val="-2"/>
        </w:rPr>
        <w:t>following:</w:t>
      </w:r>
    </w:p>
    <w:p>
      <w:pPr>
        <w:pStyle w:val="BodyText"/>
        <w:spacing w:before="181"/>
      </w:pPr>
    </w:p>
    <w:p>
      <w:pPr>
        <w:pStyle w:val="Heading2"/>
        <w:numPr>
          <w:ilvl w:val="0"/>
          <w:numId w:val="1"/>
        </w:numPr>
        <w:tabs>
          <w:tab w:pos="718" w:val="left" w:leader="none"/>
        </w:tabs>
        <w:spacing w:line="240" w:lineRule="auto" w:before="0" w:after="0"/>
        <w:ind w:left="718" w:right="0" w:hanging="359"/>
        <w:jc w:val="both"/>
      </w:pPr>
      <w:r>
        <w:rPr/>
        <w:t>Hostile</w:t>
      </w:r>
      <w:r>
        <w:rPr>
          <w:spacing w:val="-8"/>
        </w:rPr>
        <w:t> </w:t>
      </w:r>
      <w:r>
        <w:rPr>
          <w:spacing w:val="-4"/>
        </w:rPr>
        <w:t>Acts</w:t>
      </w:r>
    </w:p>
    <w:p>
      <w:pPr>
        <w:pStyle w:val="BodyText"/>
        <w:spacing w:line="230" w:lineRule="auto" w:before="75"/>
        <w:ind w:left="719" w:right="357" w:hanging="1"/>
        <w:jc w:val="both"/>
      </w:pPr>
      <w:r>
        <w:rPr/>
        <w:t>"Bodily injury”, "property damage" or “pollution conditions” however caused, arising, directly or indirectly, out of:</w:t>
      </w:r>
    </w:p>
    <w:p>
      <w:pPr>
        <w:pStyle w:val="ListParagraph"/>
        <w:numPr>
          <w:ilvl w:val="1"/>
          <w:numId w:val="1"/>
        </w:numPr>
        <w:tabs>
          <w:tab w:pos="1077" w:val="left" w:leader="none"/>
        </w:tabs>
        <w:spacing w:line="240" w:lineRule="auto" w:before="70" w:after="0"/>
        <w:ind w:left="1077" w:right="0" w:hanging="358"/>
        <w:jc w:val="both"/>
        <w:rPr>
          <w:sz w:val="20"/>
        </w:rPr>
      </w:pPr>
      <w:r>
        <w:rPr>
          <w:sz w:val="20"/>
        </w:rPr>
        <w:t>“War”,</w:t>
      </w:r>
      <w:r>
        <w:rPr>
          <w:spacing w:val="-9"/>
          <w:sz w:val="20"/>
        </w:rPr>
        <w:t> </w:t>
      </w:r>
      <w:r>
        <w:rPr>
          <w:sz w:val="20"/>
        </w:rPr>
        <w:t>including</w:t>
      </w:r>
      <w:r>
        <w:rPr>
          <w:spacing w:val="-7"/>
          <w:sz w:val="20"/>
        </w:rPr>
        <w:t> </w:t>
      </w:r>
      <w:r>
        <w:rPr>
          <w:sz w:val="20"/>
        </w:rPr>
        <w:t>undeclared</w:t>
      </w:r>
      <w:r>
        <w:rPr>
          <w:spacing w:val="-9"/>
          <w:sz w:val="20"/>
        </w:rPr>
        <w:t> </w:t>
      </w:r>
      <w:r>
        <w:rPr>
          <w:sz w:val="20"/>
        </w:rPr>
        <w:t>or</w:t>
      </w:r>
      <w:r>
        <w:rPr>
          <w:spacing w:val="-8"/>
          <w:sz w:val="20"/>
        </w:rPr>
        <w:t> </w:t>
      </w:r>
      <w:r>
        <w:rPr>
          <w:sz w:val="20"/>
        </w:rPr>
        <w:t>civil</w:t>
      </w:r>
      <w:r>
        <w:rPr>
          <w:spacing w:val="-9"/>
          <w:sz w:val="20"/>
        </w:rPr>
        <w:t> </w:t>
      </w:r>
      <w:r>
        <w:rPr>
          <w:spacing w:val="-4"/>
          <w:sz w:val="20"/>
        </w:rPr>
        <w:t>war;</w:t>
      </w:r>
    </w:p>
    <w:p>
      <w:pPr>
        <w:pStyle w:val="ListParagraph"/>
        <w:numPr>
          <w:ilvl w:val="1"/>
          <w:numId w:val="1"/>
        </w:numPr>
        <w:tabs>
          <w:tab w:pos="1077" w:val="left" w:leader="none"/>
          <w:tab w:pos="1079" w:val="left" w:leader="none"/>
        </w:tabs>
        <w:spacing w:line="230" w:lineRule="auto" w:before="77" w:after="0"/>
        <w:ind w:left="1079" w:right="357" w:hanging="360"/>
        <w:jc w:val="both"/>
        <w:rPr>
          <w:sz w:val="20"/>
        </w:rPr>
      </w:pPr>
      <w:r>
        <w:rPr>
          <w:sz w:val="20"/>
        </w:rPr>
        <w:t>Warlike action by a military force, including action in hindering or</w:t>
      </w:r>
      <w:r>
        <w:rPr>
          <w:spacing w:val="40"/>
          <w:sz w:val="20"/>
        </w:rPr>
        <w:t> </w:t>
      </w:r>
      <w:r>
        <w:rPr>
          <w:sz w:val="20"/>
        </w:rPr>
        <w:t>defending against an actual or expected</w:t>
      </w:r>
      <w:r>
        <w:rPr>
          <w:spacing w:val="-5"/>
          <w:sz w:val="20"/>
        </w:rPr>
        <w:t> </w:t>
      </w:r>
      <w:r>
        <w:rPr>
          <w:sz w:val="20"/>
        </w:rPr>
        <w:t>attack,</w:t>
      </w:r>
      <w:r>
        <w:rPr>
          <w:spacing w:val="-6"/>
          <w:sz w:val="20"/>
        </w:rPr>
        <w:t> </w:t>
      </w:r>
      <w:r>
        <w:rPr>
          <w:sz w:val="20"/>
        </w:rPr>
        <w:t>by</w:t>
      </w:r>
      <w:r>
        <w:rPr>
          <w:spacing w:val="-4"/>
          <w:sz w:val="20"/>
        </w:rPr>
        <w:t> </w:t>
      </w:r>
      <w:r>
        <w:rPr>
          <w:sz w:val="20"/>
        </w:rPr>
        <w:t>any</w:t>
      </w:r>
      <w:r>
        <w:rPr>
          <w:spacing w:val="-6"/>
          <w:sz w:val="20"/>
        </w:rPr>
        <w:t> </w:t>
      </w:r>
      <w:r>
        <w:rPr>
          <w:sz w:val="20"/>
        </w:rPr>
        <w:t>government,</w:t>
      </w:r>
      <w:r>
        <w:rPr>
          <w:spacing w:val="-6"/>
          <w:sz w:val="20"/>
        </w:rPr>
        <w:t> </w:t>
      </w:r>
      <w:r>
        <w:rPr>
          <w:sz w:val="20"/>
        </w:rPr>
        <w:t>sovereign</w:t>
      </w:r>
      <w:r>
        <w:rPr>
          <w:spacing w:val="-6"/>
          <w:sz w:val="20"/>
        </w:rPr>
        <w:t> </w:t>
      </w:r>
      <w:r>
        <w:rPr>
          <w:sz w:val="20"/>
        </w:rPr>
        <w:t>or</w:t>
      </w:r>
      <w:r>
        <w:rPr>
          <w:spacing w:val="-5"/>
          <w:sz w:val="20"/>
        </w:rPr>
        <w:t> </w:t>
      </w:r>
      <w:r>
        <w:rPr>
          <w:sz w:val="20"/>
        </w:rPr>
        <w:t>other</w:t>
      </w:r>
      <w:r>
        <w:rPr>
          <w:spacing w:val="-5"/>
          <w:sz w:val="20"/>
        </w:rPr>
        <w:t> </w:t>
      </w:r>
      <w:r>
        <w:rPr>
          <w:sz w:val="20"/>
        </w:rPr>
        <w:t>authority</w:t>
      </w:r>
      <w:r>
        <w:rPr>
          <w:spacing w:val="-4"/>
          <w:sz w:val="20"/>
        </w:rPr>
        <w:t> </w:t>
      </w:r>
      <w:r>
        <w:rPr>
          <w:sz w:val="20"/>
        </w:rPr>
        <w:t>using</w:t>
      </w:r>
      <w:r>
        <w:rPr>
          <w:spacing w:val="-5"/>
          <w:sz w:val="20"/>
        </w:rPr>
        <w:t> </w:t>
      </w:r>
      <w:r>
        <w:rPr>
          <w:sz w:val="20"/>
        </w:rPr>
        <w:t>military</w:t>
      </w:r>
      <w:r>
        <w:rPr>
          <w:spacing w:val="-4"/>
          <w:sz w:val="20"/>
        </w:rPr>
        <w:t> </w:t>
      </w:r>
      <w:r>
        <w:rPr>
          <w:sz w:val="20"/>
        </w:rPr>
        <w:t>personnel</w:t>
      </w:r>
      <w:r>
        <w:rPr>
          <w:spacing w:val="-5"/>
          <w:sz w:val="20"/>
        </w:rPr>
        <w:t> </w:t>
      </w:r>
      <w:r>
        <w:rPr>
          <w:sz w:val="20"/>
        </w:rPr>
        <w:t>or</w:t>
      </w:r>
      <w:r>
        <w:rPr>
          <w:spacing w:val="-5"/>
          <w:sz w:val="20"/>
        </w:rPr>
        <w:t> </w:t>
      </w:r>
      <w:r>
        <w:rPr>
          <w:sz w:val="20"/>
        </w:rPr>
        <w:t>other agents; or</w:t>
      </w:r>
    </w:p>
    <w:p>
      <w:pPr>
        <w:pStyle w:val="ListParagraph"/>
        <w:numPr>
          <w:ilvl w:val="1"/>
          <w:numId w:val="1"/>
        </w:numPr>
        <w:tabs>
          <w:tab w:pos="1076" w:val="left" w:leader="none"/>
          <w:tab w:pos="1078" w:val="left" w:leader="none"/>
        </w:tabs>
        <w:spacing w:line="230" w:lineRule="auto" w:before="74" w:after="0"/>
        <w:ind w:left="1078" w:right="357" w:hanging="360"/>
        <w:jc w:val="both"/>
        <w:rPr>
          <w:sz w:val="20"/>
        </w:rPr>
      </w:pPr>
      <w:r>
        <w:rPr>
          <w:sz w:val="20"/>
        </w:rPr>
        <w:t>Insurrection, rebellion, revolution, usurped power, or action taken by governmental authority in hindering or defending against any of these.</w:t>
      </w:r>
    </w:p>
    <w:p>
      <w:pPr>
        <w:pStyle w:val="BodyText"/>
        <w:spacing w:line="225" w:lineRule="exact" w:before="70"/>
        <w:ind w:left="718"/>
        <w:jc w:val="both"/>
        <w:rPr>
          <w:b/>
        </w:rPr>
      </w:pPr>
      <w:r>
        <w:rPr/>
        <w:t>This</w:t>
      </w:r>
      <w:r>
        <w:rPr>
          <w:spacing w:val="-2"/>
        </w:rPr>
        <w:t> </w:t>
      </w:r>
      <w:r>
        <w:rPr/>
        <w:t>exclusion</w:t>
      </w:r>
      <w:r>
        <w:rPr>
          <w:spacing w:val="1"/>
        </w:rPr>
        <w:t> </w:t>
      </w:r>
      <w:r>
        <w:rPr/>
        <w:t>applies regardless</w:t>
      </w:r>
      <w:r>
        <w:rPr>
          <w:spacing w:val="2"/>
        </w:rPr>
        <w:t> </w:t>
      </w:r>
      <w:r>
        <w:rPr/>
        <w:t>of</w:t>
      </w:r>
      <w:r>
        <w:rPr>
          <w:spacing w:val="1"/>
        </w:rPr>
        <w:t> </w:t>
      </w:r>
      <w:r>
        <w:rPr/>
        <w:t>the means</w:t>
      </w:r>
      <w:r>
        <w:rPr>
          <w:spacing w:val="2"/>
        </w:rPr>
        <w:t> </w:t>
      </w:r>
      <w:r>
        <w:rPr/>
        <w:t>used in</w:t>
      </w:r>
      <w:r>
        <w:rPr>
          <w:spacing w:val="2"/>
        </w:rPr>
        <w:t> </w:t>
      </w:r>
      <w:r>
        <w:rPr/>
        <w:t>any</w:t>
      </w:r>
      <w:r>
        <w:rPr>
          <w:spacing w:val="2"/>
        </w:rPr>
        <w:t> </w:t>
      </w:r>
      <w:r>
        <w:rPr/>
        <w:t>of the</w:t>
      </w:r>
      <w:r>
        <w:rPr>
          <w:spacing w:val="-1"/>
        </w:rPr>
        <w:t> </w:t>
      </w:r>
      <w:r>
        <w:rPr/>
        <w:t>above,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Paragraphs</w:t>
      </w:r>
      <w:r>
        <w:rPr>
          <w:spacing w:val="1"/>
        </w:rPr>
        <w:t> </w:t>
      </w:r>
      <w:r>
        <w:rPr>
          <w:b/>
        </w:rPr>
        <w:t>1. </w:t>
      </w:r>
      <w:r>
        <w:rPr/>
        <w:t>through</w:t>
      </w:r>
      <w:r>
        <w:rPr>
          <w:spacing w:val="2"/>
        </w:rPr>
        <w:t> </w:t>
      </w:r>
      <w:r>
        <w:rPr>
          <w:b/>
          <w:spacing w:val="-5"/>
        </w:rPr>
        <w:t>3.</w:t>
      </w:r>
    </w:p>
    <w:p>
      <w:pPr>
        <w:pStyle w:val="BodyText"/>
        <w:spacing w:line="225" w:lineRule="exact"/>
        <w:ind w:left="718"/>
        <w:jc w:val="both"/>
      </w:pPr>
      <w:r>
        <w:rPr/>
        <w:t>including,</w:t>
      </w:r>
      <w:r>
        <w:rPr>
          <w:spacing w:val="-4"/>
        </w:rPr>
        <w:t> </w:t>
      </w:r>
      <w:r>
        <w:rPr/>
        <w:t>but</w:t>
      </w:r>
      <w:r>
        <w:rPr>
          <w:spacing w:val="-5"/>
        </w:rPr>
        <w:t> </w:t>
      </w:r>
      <w:r>
        <w:rPr/>
        <w:t>not</w:t>
      </w:r>
      <w:r>
        <w:rPr>
          <w:spacing w:val="-3"/>
        </w:rPr>
        <w:t> </w:t>
      </w:r>
      <w:r>
        <w:rPr/>
        <w:t>limited</w:t>
      </w:r>
      <w:r>
        <w:rPr>
          <w:spacing w:val="-3"/>
        </w:rPr>
        <w:t> </w:t>
      </w:r>
      <w:r>
        <w:rPr/>
        <w:t>to,</w:t>
      </w:r>
      <w:r>
        <w:rPr>
          <w:spacing w:val="-3"/>
        </w:rPr>
        <w:t> </w:t>
      </w:r>
      <w:r>
        <w:rPr/>
        <w:t>cyber</w:t>
      </w:r>
      <w:r>
        <w:rPr>
          <w:spacing w:val="-2"/>
        </w:rPr>
        <w:t> means.</w:t>
      </w:r>
    </w:p>
    <w:p>
      <w:pPr>
        <w:pStyle w:val="BodyText"/>
      </w:pPr>
    </w:p>
    <w:p>
      <w:pPr>
        <w:pStyle w:val="BodyText"/>
        <w:spacing w:before="229"/>
      </w:pPr>
    </w:p>
    <w:p>
      <w:pPr>
        <w:pStyle w:val="BodyText"/>
        <w:ind w:left="358"/>
      </w:pPr>
      <w:r>
        <w:rPr/>
        <w:t>All</w:t>
      </w:r>
      <w:r>
        <w:rPr>
          <w:spacing w:val="-5"/>
        </w:rPr>
        <w:t> </w:t>
      </w:r>
      <w:r>
        <w:rPr/>
        <w:t>other</w:t>
      </w:r>
      <w:r>
        <w:rPr>
          <w:spacing w:val="-2"/>
        </w:rPr>
        <w:t> </w:t>
      </w:r>
      <w:r>
        <w:rPr/>
        <w:t>terms</w:t>
      </w:r>
      <w:r>
        <w:rPr>
          <w:spacing w:val="-2"/>
        </w:rPr>
        <w:t> </w:t>
      </w:r>
      <w:r>
        <w:rPr/>
        <w:t>and</w:t>
      </w:r>
      <w:r>
        <w:rPr>
          <w:spacing w:val="-4"/>
        </w:rPr>
        <w:t> </w:t>
      </w:r>
      <w:r>
        <w:rPr/>
        <w:t>conditions</w:t>
      </w:r>
      <w:r>
        <w:rPr>
          <w:spacing w:val="-2"/>
        </w:rPr>
        <w:t> </w:t>
      </w:r>
      <w:r>
        <w:rPr/>
        <w:t>of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policy</w:t>
      </w:r>
      <w:r>
        <w:rPr>
          <w:spacing w:val="-3"/>
        </w:rPr>
        <w:t> </w:t>
      </w:r>
      <w:r>
        <w:rPr/>
        <w:t>remain</w:t>
      </w:r>
      <w:r>
        <w:rPr>
          <w:spacing w:val="-3"/>
        </w:rPr>
        <w:t> </w:t>
      </w:r>
      <w:r>
        <w:rPr/>
        <w:t>the</w:t>
      </w:r>
      <w:r>
        <w:rPr>
          <w:spacing w:val="-2"/>
        </w:rPr>
        <w:t> same.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97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4113820</wp:posOffset>
                </wp:positionH>
                <wp:positionV relativeFrom="paragraph">
                  <wp:posOffset>286883</wp:posOffset>
                </wp:positionV>
                <wp:extent cx="1838325" cy="1270"/>
                <wp:effectExtent l="0" t="0" r="0" b="0"/>
                <wp:wrapTopAndBottom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18383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8325" h="0">
                              <a:moveTo>
                                <a:pt x="0" y="0"/>
                              </a:moveTo>
                              <a:lnTo>
                                <a:pt x="1838235" y="0"/>
                              </a:lnTo>
                            </a:path>
                          </a:pathLst>
                        </a:custGeom>
                        <a:ln w="80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23.922852pt;margin-top:22.589272pt;width:144.75pt;height:.1pt;mso-position-horizontal-relative:page;mso-position-vertical-relative:paragraph;z-index:-15728128;mso-wrap-distance-left:0;mso-wrap-distance-right:0" id="docshape2" coordorigin="6478,452" coordsize="2895,0" path="m6478,452l9373,452e" filled="false" stroked="true" strokeweight=".63126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3"/>
        <w:ind w:left="5398"/>
      </w:pPr>
      <w:r>
        <w:rPr/>
        <w:t>Authorized</w:t>
      </w:r>
      <w:r>
        <w:rPr>
          <w:spacing w:val="-6"/>
        </w:rPr>
        <w:t> </w:t>
      </w:r>
      <w:r>
        <w:rPr>
          <w:spacing w:val="-2"/>
        </w:rPr>
        <w:t>Representative</w:t>
      </w:r>
    </w:p>
    <w:sectPr>
      <w:footerReference w:type="default" r:id="rId5"/>
      <w:type w:val="continuous"/>
      <w:pgSz w:w="12240" w:h="15840"/>
      <w:pgMar w:header="0" w:footer="1239" w:top="1600" w:bottom="1420" w:left="1080" w:right="1080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</w:pPr>
    <w:r>
      <w:rPr/>
      <mc:AlternateContent>
        <mc:Choice Requires="wps">
          <w:drawing>
            <wp:anchor distT="0" distB="0" distL="0" distR="0" allowOverlap="1" layoutInCell="1" locked="0" behindDoc="0" simplePos="0" relativeHeight="15728640">
              <wp:simplePos x="0" y="0"/>
              <wp:positionH relativeFrom="page">
                <wp:posOffset>876300</wp:posOffset>
              </wp:positionH>
              <wp:positionV relativeFrom="page">
                <wp:posOffset>9141714</wp:posOffset>
              </wp:positionV>
              <wp:extent cx="6019800" cy="29210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6019800" cy="292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W w:w="0" w:type="auto"/>
                            <w:jc w:val="left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  <w:tblLook w:val="01E0"/>
                          </w:tblPr>
                          <w:tblGrid>
                            <w:gridCol w:w="1979"/>
                            <w:gridCol w:w="5415"/>
                            <w:gridCol w:w="1958"/>
                          </w:tblGrid>
                          <w:tr>
                            <w:trPr>
                              <w:trHeight w:val="440" w:hRule="atLeast"/>
                            </w:trPr>
                            <w:tc>
                              <w:tcPr>
                                <w:tcW w:w="1979" w:type="dxa"/>
                              </w:tcPr>
                              <w:p>
                                <w:pPr>
                                  <w:pStyle w:val="TableParagraph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CAU</w:t>
                                </w:r>
                                <w:r>
                                  <w:rPr>
                                    <w:spacing w:val="-4"/>
                                    <w:sz w:val="18"/>
                                  </w:rPr>
                                  <w:t> </w:t>
                                </w:r>
                                <w:r>
                                  <w:rPr>
                                    <w:sz w:val="18"/>
                                  </w:rPr>
                                  <w:t>148470</w:t>
                                </w:r>
                                <w:r>
                                  <w:rPr>
                                    <w:spacing w:val="-3"/>
                                    <w:sz w:val="18"/>
                                  </w:rPr>
                                  <w:t> </w:t>
                                </w:r>
                                <w:r>
                                  <w:rPr>
                                    <w:spacing w:val="-2"/>
                                    <w:sz w:val="18"/>
                                  </w:rPr>
                                  <w:t>(01/26)</w:t>
                                </w:r>
                              </w:p>
                            </w:tc>
                            <w:tc>
                              <w:tcPr>
                                <w:tcW w:w="5415" w:type="dxa"/>
                              </w:tcPr>
                              <w:p>
                                <w:pPr>
                                  <w:pStyle w:val="TableParagraph"/>
                                  <w:spacing w:line="220" w:lineRule="exact"/>
                                  <w:ind w:left="1946" w:right="157" w:hanging="1782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Includes</w:t>
                                </w:r>
                                <w:r>
                                  <w:rPr>
                                    <w:spacing w:val="-6"/>
                                    <w:sz w:val="18"/>
                                  </w:rPr>
                                  <w:t> </w:t>
                                </w:r>
                                <w:r>
                                  <w:rPr>
                                    <w:sz w:val="18"/>
                                  </w:rPr>
                                  <w:t>copyrighted</w:t>
                                </w:r>
                                <w:r>
                                  <w:rPr>
                                    <w:spacing w:val="-7"/>
                                    <w:sz w:val="18"/>
                                  </w:rPr>
                                  <w:t> </w:t>
                                </w:r>
                                <w:r>
                                  <w:rPr>
                                    <w:sz w:val="18"/>
                                  </w:rPr>
                                  <w:t>material</w:t>
                                </w:r>
                                <w:r>
                                  <w:rPr>
                                    <w:spacing w:val="-5"/>
                                    <w:sz w:val="18"/>
                                  </w:rPr>
                                  <w:t> </w:t>
                                </w:r>
                                <w:r>
                                  <w:rPr>
                                    <w:sz w:val="18"/>
                                  </w:rPr>
                                  <w:t>of</w:t>
                                </w:r>
                                <w:r>
                                  <w:rPr>
                                    <w:spacing w:val="-6"/>
                                    <w:sz w:val="18"/>
                                  </w:rPr>
                                  <w:t> </w:t>
                                </w:r>
                                <w:r>
                                  <w:rPr>
                                    <w:sz w:val="18"/>
                                  </w:rPr>
                                  <w:t>Insurance</w:t>
                                </w:r>
                                <w:r>
                                  <w:rPr>
                                    <w:spacing w:val="-7"/>
                                    <w:sz w:val="18"/>
                                  </w:rPr>
                                  <w:t> </w:t>
                                </w:r>
                                <w:r>
                                  <w:rPr>
                                    <w:sz w:val="18"/>
                                  </w:rPr>
                                  <w:t>Services</w:t>
                                </w:r>
                                <w:r>
                                  <w:rPr>
                                    <w:spacing w:val="-6"/>
                                    <w:sz w:val="18"/>
                                  </w:rPr>
                                  <w:t> </w:t>
                                </w:r>
                                <w:r>
                                  <w:rPr>
                                    <w:sz w:val="18"/>
                                  </w:rPr>
                                  <w:t>Office,</w:t>
                                </w:r>
                                <w:r>
                                  <w:rPr>
                                    <w:spacing w:val="-6"/>
                                    <w:sz w:val="18"/>
                                  </w:rPr>
                                  <w:t> </w:t>
                                </w:r>
                                <w:r>
                                  <w:rPr>
                                    <w:sz w:val="18"/>
                                  </w:rPr>
                                  <w:t>Inc., with its permission.</w:t>
                                </w:r>
                              </w:p>
                            </w:tc>
                            <w:tc>
                              <w:tcPr>
                                <w:tcW w:w="1958" w:type="dxa"/>
                              </w:tcPr>
                              <w:p>
                                <w:pPr>
                                  <w:pStyle w:val="TableParagraph"/>
                                  <w:ind w:left="927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Page</w:t>
                                </w:r>
                                <w:r>
                                  <w:rPr>
                                    <w:spacing w:val="-2"/>
                                    <w:sz w:val="18"/>
                                  </w:rPr>
                                  <w:t> </w:t>
                                </w:r>
                                <w:r>
                                  <w:rPr>
                                    <w:sz w:val="18"/>
                                  </w:rPr>
                                  <w:t>1</w:t>
                                </w:r>
                                <w:r>
                                  <w:rPr>
                                    <w:spacing w:val="-2"/>
                                    <w:sz w:val="18"/>
                                  </w:rPr>
                                  <w:t> </w:t>
                                </w:r>
                                <w:r>
                                  <w:rPr>
                                    <w:sz w:val="18"/>
                                  </w:rPr>
                                  <w:t>of</w:t>
                                </w:r>
                                <w:r>
                                  <w:rPr>
                                    <w:spacing w:val="-1"/>
                                    <w:sz w:val="18"/>
                                  </w:rPr>
                                  <w:t> </w:t>
                                </w:r>
                                <w:r>
                                  <w:rPr>
                                    <w:spacing w:val="-10"/>
                                    <w:sz w:val="18"/>
                                  </w:rPr>
                                  <w:t>1</w:t>
                                </w:r>
                              </w:p>
                            </w:tc>
                          </w:tr>
                        </w:tbl>
                        <w:p>
                          <w:pPr>
                            <w:pStyle w:val="BodyText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69pt;margin-top:719.820007pt;width:474pt;height:23pt;mso-position-horizontal-relative:page;mso-position-vertical-relative:page;z-index:15728640" type="#_x0000_t202" id="docshape1" filled="false" stroked="false">
              <v:textbox inset="0,0,0,0">
                <w:txbxContent>
                  <w:tbl>
                    <w:tblPr>
                      <w:tblW w:w="0" w:type="auto"/>
                      <w:jc w:val="left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>
                    <w:tblGrid>
                      <w:gridCol w:w="1979"/>
                      <w:gridCol w:w="5415"/>
                      <w:gridCol w:w="1958"/>
                    </w:tblGrid>
                    <w:tr>
                      <w:trPr>
                        <w:trHeight w:val="440" w:hRule="atLeast"/>
                      </w:trPr>
                      <w:tc>
                        <w:tcPr>
                          <w:tcW w:w="1979" w:type="dxa"/>
                        </w:tcPr>
                        <w:p>
                          <w:pPr>
                            <w:pStyle w:val="TableParagraph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CAU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 </w:t>
                          </w:r>
                          <w:r>
                            <w:rPr>
                              <w:sz w:val="18"/>
                            </w:rPr>
                            <w:t>148470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>(01/26)</w:t>
                          </w:r>
                        </w:p>
                      </w:tc>
                      <w:tc>
                        <w:tcPr>
                          <w:tcW w:w="5415" w:type="dxa"/>
                        </w:tcPr>
                        <w:p>
                          <w:pPr>
                            <w:pStyle w:val="TableParagraph"/>
                            <w:spacing w:line="220" w:lineRule="exact"/>
                            <w:ind w:left="1946" w:right="157" w:hanging="1782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Includes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> </w:t>
                          </w:r>
                          <w:r>
                            <w:rPr>
                              <w:sz w:val="18"/>
                            </w:rPr>
                            <w:t>copyrighted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> </w:t>
                          </w:r>
                          <w:r>
                            <w:rPr>
                              <w:sz w:val="18"/>
                            </w:rPr>
                            <w:t>material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> </w:t>
                          </w:r>
                          <w:r>
                            <w:rPr>
                              <w:sz w:val="18"/>
                            </w:rPr>
                            <w:t>of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> </w:t>
                          </w:r>
                          <w:r>
                            <w:rPr>
                              <w:sz w:val="18"/>
                            </w:rPr>
                            <w:t>Insurance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> </w:t>
                          </w:r>
                          <w:r>
                            <w:rPr>
                              <w:sz w:val="18"/>
                            </w:rPr>
                            <w:t>Services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> </w:t>
                          </w:r>
                          <w:r>
                            <w:rPr>
                              <w:sz w:val="18"/>
                            </w:rPr>
                            <w:t>Office,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> </w:t>
                          </w:r>
                          <w:r>
                            <w:rPr>
                              <w:sz w:val="18"/>
                            </w:rPr>
                            <w:t>Inc., with its permission.</w:t>
                          </w:r>
                        </w:p>
                      </w:tc>
                      <w:tc>
                        <w:tcPr>
                          <w:tcW w:w="1958" w:type="dxa"/>
                        </w:tcPr>
                        <w:p>
                          <w:pPr>
                            <w:pStyle w:val="TableParagraph"/>
                            <w:ind w:left="927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Page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> </w:t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> </w:t>
                          </w:r>
                          <w:r>
                            <w:rPr>
                              <w:sz w:val="18"/>
                            </w:rPr>
                            <w:t>of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>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1</w:t>
                          </w:r>
                        </w:p>
                      </w:tc>
                    </w:tr>
                  </w:tbl>
                  <w:p>
                    <w:pPr>
                      <w:pStyle w:val="BodyText"/>
                    </w:pP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2"/>
      <w:numFmt w:val="upperLetter"/>
      <w:lvlText w:val="%1."/>
      <w:lvlJc w:val="left"/>
      <w:pPr>
        <w:ind w:left="719" w:hanging="360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>
      <w:start w:val="1"/>
      <w:numFmt w:val="decimal"/>
      <w:lvlText w:val="%2."/>
      <w:lvlJc w:val="left"/>
      <w:pPr>
        <w:ind w:left="1079" w:hanging="360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080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80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08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080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080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080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0"/>
      <w:szCs w:val="20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1"/>
      <w:ind w:left="12" w:right="12"/>
      <w:jc w:val="center"/>
      <w:outlineLvl w:val="1"/>
    </w:pPr>
    <w:rPr>
      <w:rFonts w:ascii="Arial" w:hAnsi="Arial" w:eastAsia="Arial" w:cs="Arial"/>
      <w:b/>
      <w:bCs/>
      <w:sz w:val="32"/>
      <w:szCs w:val="32"/>
      <w:lang w:val="en-US" w:eastAsia="en-US" w:bidi="ar-SA"/>
    </w:rPr>
  </w:style>
  <w:style w:styleId="Heading2" w:type="paragraph">
    <w:name w:val="Heading 2"/>
    <w:basedOn w:val="Normal"/>
    <w:uiPriority w:val="1"/>
    <w:qFormat/>
    <w:pPr>
      <w:ind w:left="1"/>
      <w:jc w:val="center"/>
      <w:outlineLvl w:val="2"/>
    </w:pPr>
    <w:rPr>
      <w:rFonts w:ascii="Arial" w:hAnsi="Arial" w:eastAsia="Arial" w:cs="Arial"/>
      <w:b/>
      <w:bCs/>
      <w:sz w:val="20"/>
      <w:szCs w:val="20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718" w:hanging="360"/>
      <w:jc w:val="both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line="206" w:lineRule="exact"/>
      <w:ind w:left="107"/>
    </w:pPr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Company/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Jacobson, Melissa</dc:creator>
  <dc:description/>
  <dcterms:created xsi:type="dcterms:W3CDTF">2026-07-10T17:25:06Z</dcterms:created>
  <dcterms:modified xsi:type="dcterms:W3CDTF">2026-07-10T17:25:06Z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2025-11-04T00:00:00Z</vt:filetime>
  </property>
  <property fmtid="{D5CDD505-2E9C-101B-9397-08002B2CF9AE}" pid="3" name="Creator">
    <vt:lpwstr>Acrobat PDFMaker 25 for Word</vt:lpwstr>
  </property>
  <property fmtid="{D5CDD505-2E9C-101B-9397-08002B2CF9AE}" pid="4" name="LastSaved">
    <vt:filetime>2026-07-10T00:00:00Z</vt:filetime>
  </property>
  <property fmtid="{D5CDD505-2E9C-101B-9397-08002B2CF9AE}" pid="5" name="Producer">
    <vt:lpwstr>Adobe PDF Library 25.1.20</vt:lpwstr>
  </property>
  <property fmtid="{D5CDD505-2E9C-101B-9397-08002B2CF9AE}" pid="6" name="SourceModified">
    <vt:lpwstr>D:20251104181721</vt:lpwstr>
  </property>
</Properties>
</file>